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92" w:rsidRDefault="00F50892">
      <w:pPr>
        <w:spacing w:line="276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665A7">
        <w:rPr>
          <w:rFonts w:ascii="Times New Roman" w:hAnsi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168pt">
            <v:imagedata r:id="rId7" o:title=""/>
          </v:shape>
        </w:pic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7665A7">
        <w:rPr>
          <w:rFonts w:ascii="Times New Roman" w:hAnsi="Times New Roman"/>
          <w:b/>
          <w:sz w:val="28"/>
          <w:szCs w:val="28"/>
          <w:lang w:eastAsia="ru-RU"/>
        </w:rPr>
        <w:pict>
          <v:shape id="_x0000_i1026" type="#_x0000_t75" style="width:230.25pt;height:172.5pt">
            <v:imagedata r:id="rId8" o:title=""/>
          </v:shape>
        </w:pict>
      </w:r>
    </w:p>
    <w:p w:rsidR="00F50892" w:rsidRDefault="00F50892" w:rsidP="007665A7">
      <w:pPr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 id="_x0000_s1026" type="#_x0000_t75" style="position:absolute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5A437E">
        <w:rPr>
          <w:rFonts w:ascii="Times New Roman" w:hAnsi="Times New Roman"/>
          <w:b/>
          <w:sz w:val="28"/>
          <w:szCs w:val="28"/>
          <w:lang w:eastAsia="ru-RU"/>
        </w:rPr>
        <w:pict>
          <v:shape id="_x0000_i0" o:spid="_x0000_i1027" type="#_x0000_t75" style="width:258.75pt;height:90.75pt;mso-wrap-distance-left:0;mso-wrap-distance-right:0">
            <v:imagedata r:id="rId9" o:title=""/>
            <v:path textboxrect="0,0,0,0"/>
          </v:shape>
        </w:pic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13.02.2026</w:t>
      </w:r>
    </w:p>
    <w:p w:rsidR="00F50892" w:rsidRDefault="00F50892" w:rsidP="007665A7">
      <w:pPr>
        <w:spacing w:line="336" w:lineRule="auto"/>
        <w:ind w:left="180" w:hanging="18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Самарский Росреестр принял участие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в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Межрегиональном Форуме по недвижимости</w:t>
      </w:r>
    </w:p>
    <w:p w:rsidR="00F50892" w:rsidRDefault="00F50892" w:rsidP="007665A7">
      <w:pPr>
        <w:spacing w:line="336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       Самарский Росреес</w:t>
      </w:r>
      <w:r>
        <w:rPr>
          <w:rFonts w:ascii="Times New Roman" w:hAnsi="Times New Roman"/>
          <w:sz w:val="28"/>
          <w:szCs w:val="28"/>
          <w:highlight w:val="white"/>
        </w:rPr>
        <w:t xml:space="preserve">тр стал участником ХIV Поволжского Межрегионального Форума по недвижимости. Начальник отдела правового обеспечения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Константин Минин </w:t>
      </w:r>
      <w:r>
        <w:rPr>
          <w:rFonts w:ascii="Times New Roman" w:hAnsi="Times New Roman"/>
          <w:sz w:val="28"/>
          <w:szCs w:val="28"/>
        </w:rPr>
        <w:t>выступил на пленарном заседании: привел данные</w:t>
      </w:r>
      <w:r>
        <w:rPr>
          <w:rFonts w:ascii="Times New Roman" w:hAnsi="Times New Roman"/>
          <w:sz w:val="28"/>
          <w:szCs w:val="28"/>
          <w:highlight w:val="white"/>
        </w:rPr>
        <w:t xml:space="preserve"> статистики ведомства за прошедший год, а также рассказал о нововведениях законодательства в сфере земли и недвижимости. </w:t>
      </w:r>
    </w:p>
    <w:p w:rsidR="00F50892" w:rsidRDefault="00F50892" w:rsidP="007665A7">
      <w:pPr>
        <w:spacing w:line="33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nos" w:hAnsi="Tinos" w:cs="Tinos"/>
          <w:color w:val="000026"/>
          <w:sz w:val="28"/>
          <w:szCs w:val="28"/>
        </w:rPr>
        <w:t>Самарский Росреестр</w:t>
      </w:r>
      <w:r>
        <w:rPr>
          <w:rFonts w:ascii="Times New Roman" w:hAnsi="Times New Roman"/>
          <w:sz w:val="28"/>
          <w:szCs w:val="28"/>
          <w:highlight w:val="white"/>
        </w:rPr>
        <w:t xml:space="preserve"> продолжает работать во благо России и региона, оперативно предоставляя услуги в сфере недвижимости, взаимодействуя с профессиональными сообществами, органами государственной власти и местного самоуправления.</w:t>
      </w:r>
      <w:r>
        <w:rPr>
          <w:highlight w:val="whit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Более 3,5 млн</w:t>
      </w:r>
      <w:r>
        <w:rPr>
          <w:rFonts w:ascii="Times New Roman" w:hAnsi="Times New Roman"/>
          <w:sz w:val="28"/>
          <w:szCs w:val="28"/>
        </w:rPr>
        <w:t xml:space="preserve"> объектов недвижимости стоит на кадастровом учете в Самарской области. Более </w:t>
      </w:r>
      <w:r>
        <w:rPr>
          <w:rFonts w:ascii="Times New Roman" w:hAnsi="Times New Roman"/>
          <w:b/>
          <w:sz w:val="28"/>
          <w:szCs w:val="28"/>
        </w:rPr>
        <w:t>5 млн</w:t>
      </w:r>
      <w:r>
        <w:rPr>
          <w:rFonts w:ascii="Times New Roman" w:hAnsi="Times New Roman"/>
          <w:sz w:val="28"/>
          <w:szCs w:val="28"/>
        </w:rPr>
        <w:t xml:space="preserve"> актуальных записей о правах и ограничениях зарегистрировано в Едином государственном реестре недвижимости.</w:t>
      </w:r>
      <w:r>
        <w:rPr>
          <w:rFonts w:ascii="Tinos" w:hAnsi="Tinos" w:cs="Tinos"/>
          <w:color w:val="000000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оличество представленных заявлений в 2025 году составило около </w:t>
      </w:r>
      <w:r>
        <w:rPr>
          <w:rFonts w:ascii="Times New Roman" w:hAnsi="Times New Roman"/>
          <w:b/>
          <w:sz w:val="28"/>
          <w:szCs w:val="28"/>
        </w:rPr>
        <w:t>700 000</w:t>
      </w:r>
      <w:r>
        <w:rPr>
          <w:rFonts w:ascii="Times New Roman" w:hAnsi="Times New Roman"/>
          <w:sz w:val="28"/>
          <w:szCs w:val="28"/>
        </w:rPr>
        <w:t xml:space="preserve"> заявлений на учетно-регистрационные действия.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Львиная доля обращений традиционно поступила на государственную регистрацию права – </w:t>
      </w:r>
      <w:r>
        <w:rPr>
          <w:rFonts w:ascii="Times New Roman" w:hAnsi="Times New Roman"/>
          <w:b/>
          <w:sz w:val="28"/>
          <w:szCs w:val="28"/>
        </w:rPr>
        <w:t>более полумиллиона</w:t>
      </w:r>
      <w:r>
        <w:rPr>
          <w:rFonts w:ascii="Times New Roman" w:hAnsi="Times New Roman"/>
          <w:sz w:val="28"/>
          <w:szCs w:val="28"/>
        </w:rPr>
        <w:t>.</w:t>
      </w:r>
    </w:p>
    <w:p w:rsidR="00F50892" w:rsidRDefault="00F50892" w:rsidP="007665A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>Основным фундаментом работы Росреестра стали стратегические инициативы и госпрограммы, одобренные на федеральном уровне. Совершенствование законодательст</w:t>
      </w:r>
      <w:r>
        <w:rPr>
          <w:rFonts w:ascii="Times New Roman" w:hAnsi="Times New Roman"/>
          <w:sz w:val="28"/>
          <w:szCs w:val="28"/>
        </w:rPr>
        <w:t xml:space="preserve">ва по-прежнему является приоритетным направлением деятельности Росреестра. По инициативе ведомства в 2025 году принято </w:t>
      </w:r>
      <w:r>
        <w:rPr>
          <w:rFonts w:ascii="Times New Roman" w:hAnsi="Times New Roman"/>
          <w:b/>
          <w:bCs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федеральных законов, а с 2020 года – </w:t>
      </w:r>
      <w:r>
        <w:rPr>
          <w:rFonts w:ascii="Times New Roman" w:hAnsi="Times New Roman"/>
          <w:b/>
          <w:bCs/>
          <w:sz w:val="28"/>
          <w:szCs w:val="28"/>
        </w:rPr>
        <w:t>98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F50892" w:rsidRDefault="00F50892" w:rsidP="007665A7">
      <w:pPr>
        <w:shd w:val="clear" w:color="FFFFFF" w:fill="FFFFFF"/>
        <w:spacing w:after="0" w:line="336" w:lineRule="auto"/>
        <w:ind w:firstLine="567"/>
        <w:jc w:val="both"/>
        <w:rPr>
          <w:sz w:val="24"/>
          <w:szCs w:val="24"/>
          <w:highlight w:val="white"/>
        </w:rPr>
      </w:pPr>
      <w:r>
        <w:rPr>
          <w:rFonts w:ascii="Tinos" w:hAnsi="Tinos" w:cs="Tinos"/>
          <w:i/>
          <w:iCs/>
          <w:sz w:val="28"/>
          <w:szCs w:val="28"/>
          <w:highlight w:val="white"/>
        </w:rPr>
        <w:t>«В 2025 году наше ведомство продолжило реализовывать</w:t>
      </w:r>
      <w:r>
        <w:rPr>
          <w:rFonts w:ascii="Tinos" w:hAnsi="Tinos" w:cs="Tinos"/>
          <w:i/>
          <w:iCs/>
          <w:color w:val="000000"/>
          <w:sz w:val="28"/>
          <w:szCs w:val="28"/>
          <w:highlight w:val="white"/>
        </w:rPr>
        <w:t xml:space="preserve"> федеральный проект «Национальная система пространственных данных» (НСПД) – единый геоинформационный ресурс, объединяющий множество данных ведомственных информационных систем в сфере недвижимости,</w:t>
      </w:r>
      <w:r>
        <w:rPr>
          <w:rFonts w:ascii="Tinos" w:hAnsi="Tinos" w:cs="Tinos"/>
          <w:i/>
          <w:iCs/>
          <w:color w:val="222222"/>
          <w:sz w:val="28"/>
          <w:szCs w:val="28"/>
          <w:highlight w:val="white"/>
        </w:rPr>
        <w:t xml:space="preserve"> и призванный упростить процедуры, связанные с оформлением недвижимости</w:t>
      </w:r>
      <w:r>
        <w:rPr>
          <w:rFonts w:ascii="Tinos" w:hAnsi="Tinos" w:cs="Tinos"/>
          <w:i/>
          <w:iCs/>
          <w:color w:val="222222"/>
          <w:sz w:val="28"/>
          <w:szCs w:val="28"/>
        </w:rPr>
        <w:t xml:space="preserve">, - </w:t>
      </w:r>
      <w:r>
        <w:rPr>
          <w:rFonts w:ascii="Tinos" w:hAnsi="Tinos" w:cs="Tinos"/>
          <w:sz w:val="28"/>
          <w:szCs w:val="28"/>
        </w:rPr>
        <w:t>отметил</w:t>
      </w:r>
      <w:r>
        <w:rPr>
          <w:rFonts w:ascii="Tinos" w:hAnsi="Tinos" w:cs="Tinos"/>
          <w:b/>
          <w:bCs/>
          <w:sz w:val="28"/>
          <w:szCs w:val="28"/>
        </w:rPr>
        <w:t xml:space="preserve"> Константин Минин - </w:t>
      </w:r>
      <w:r>
        <w:rPr>
          <w:rFonts w:ascii="Tinos" w:hAnsi="Tinos" w:cs="Tinos"/>
          <w:i/>
          <w:iCs/>
          <w:color w:val="222222"/>
          <w:sz w:val="28"/>
          <w:szCs w:val="28"/>
          <w:highlight w:val="white"/>
        </w:rPr>
        <w:t>По-прежнему наиболее востребованы из них сервисы: «Земля просто»</w:t>
      </w:r>
      <w:r>
        <w:rPr>
          <w:rFonts w:ascii="Tinos" w:hAnsi="Tinos" w:cs="Tinos"/>
          <w:i/>
          <w:iCs/>
          <w:color w:val="292C2F"/>
          <w:sz w:val="28"/>
          <w:szCs w:val="28"/>
          <w:highlight w:val="white"/>
        </w:rPr>
        <w:t xml:space="preserve">, облегчающий поиск свободных участков для застройки; </w:t>
      </w:r>
      <w:r>
        <w:rPr>
          <w:rFonts w:ascii="Tinos" w:hAnsi="Tinos" w:cs="Tinos"/>
          <w:i/>
          <w:iCs/>
          <w:color w:val="222222"/>
          <w:sz w:val="28"/>
          <w:szCs w:val="28"/>
          <w:highlight w:val="white"/>
        </w:rPr>
        <w:t>«Градопроработка онлайн»</w:t>
      </w:r>
      <w:r>
        <w:rPr>
          <w:rFonts w:ascii="Tinos" w:hAnsi="Tinos" w:cs="Tinos"/>
          <w:i/>
          <w:iCs/>
          <w:color w:val="333333"/>
          <w:sz w:val="28"/>
          <w:szCs w:val="28"/>
          <w:highlight w:val="white"/>
        </w:rPr>
        <w:t xml:space="preserve">, позволяющий получить информацию о потенциале земельного участка в режиме онлайн; а также </w:t>
      </w:r>
      <w:r>
        <w:rPr>
          <w:rFonts w:ascii="Tinos" w:hAnsi="Tinos" w:cs="Tinos"/>
          <w:i/>
          <w:iCs/>
          <w:color w:val="222222"/>
          <w:sz w:val="28"/>
          <w:szCs w:val="28"/>
          <w:highlight w:val="white"/>
        </w:rPr>
        <w:t xml:space="preserve">«ИЖС», помогающий пользователям визуализировать свои проекты. </w:t>
      </w:r>
      <w:r>
        <w:rPr>
          <w:rFonts w:ascii="Times New Roman" w:hAnsi="Times New Roman"/>
          <w:i/>
          <w:iCs/>
          <w:sz w:val="28"/>
          <w:szCs w:val="28"/>
          <w:highlight w:val="white"/>
        </w:rPr>
        <w:t>Среди новых сервисов НСПД отметим «Визуализацию пространственных данных» — инструмент для отображения на карте данных, содержащихся в электронных документах, подготовленных в формате XML. </w:t>
      </w:r>
      <w:r>
        <w:rPr>
          <w:rFonts w:ascii="Tinos" w:hAnsi="Tinos" w:cs="Tinos"/>
          <w:i/>
          <w:iCs/>
          <w:color w:val="000000"/>
          <w:sz w:val="28"/>
          <w:szCs w:val="28"/>
          <w:highlight w:val="white"/>
        </w:rPr>
        <w:t>Кроме того, НСПД наполнилась новыми данными о границах муниципальных районов, населенных пунктов, о границах территориальных зон и зон с особыми условиями использования территорий. Мы рекомендуем использовать платформу всем участникам рынка».</w:t>
      </w:r>
    </w:p>
    <w:p w:rsidR="00F50892" w:rsidRDefault="00F50892" w:rsidP="007665A7">
      <w:pPr>
        <w:spacing w:line="336" w:lineRule="auto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nos" w:hAnsi="Tinos" w:cs="Tinos"/>
          <w:b/>
          <w:bCs/>
          <w:color w:val="000000"/>
          <w:sz w:val="28"/>
          <w:szCs w:val="28"/>
        </w:rPr>
        <w:t xml:space="preserve"> </w:t>
      </w:r>
      <w:r>
        <w:rPr>
          <w:rFonts w:ascii="Tinos" w:hAnsi="Tinos" w:cs="Tinos"/>
          <w:color w:val="000000"/>
          <w:sz w:val="28"/>
          <w:szCs w:val="28"/>
        </w:rPr>
        <w:t>П</w:t>
      </w:r>
      <w:r>
        <w:rPr>
          <w:rFonts w:ascii="Tinos" w:hAnsi="Tinos" w:cs="Tinos"/>
          <w:color w:val="000000"/>
          <w:sz w:val="28"/>
          <w:szCs w:val="28"/>
          <w:highlight w:val="white"/>
        </w:rPr>
        <w:t>резидент Поволжской Гильдии Риэлторов</w:t>
      </w:r>
      <w:r>
        <w:rPr>
          <w:rFonts w:ascii="Tinos" w:hAnsi="Tinos" w:cs="Tinos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Гузалия Рахматова </w:t>
      </w:r>
      <w:r>
        <w:rPr>
          <w:rFonts w:ascii="Times New Roman" w:hAnsi="Times New Roman"/>
          <w:sz w:val="28"/>
          <w:szCs w:val="28"/>
        </w:rPr>
        <w:t>по окончании пленарного заседания поблагодарила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спикера Росреестра за активное участие в мероприятии: </w:t>
      </w:r>
      <w:r>
        <w:rPr>
          <w:rFonts w:ascii="Times New Roman" w:hAnsi="Times New Roman"/>
          <w:i/>
          <w:iCs/>
          <w:sz w:val="28"/>
          <w:szCs w:val="28"/>
          <w:highlight w:val="white"/>
        </w:rPr>
        <w:t xml:space="preserve">«Мы рады, что самарский Росреестр в очередной раз стал гостем ежегодного Форума и подготовил самую актуальную и важную информацию, которая будет полезна для всех, и которой смогут руководствоваться в своей деятельности присутствующие сегодня в нашем зале профессиональные сообщества».  </w:t>
      </w:r>
    </w:p>
    <w:p w:rsidR="00F50892" w:rsidRPr="007665A7" w:rsidRDefault="00F50892" w:rsidP="007665A7">
      <w:pPr>
        <w:spacing w:line="336" w:lineRule="auto"/>
        <w:ind w:firstLine="567"/>
        <w:jc w:val="both"/>
        <w:rPr>
          <w:rFonts w:ascii="Times New Roman" w:hAnsi="Times New Roman"/>
          <w:b/>
          <w:bCs/>
          <w:i/>
          <w:sz w:val="18"/>
          <w:szCs w:val="18"/>
          <w:highlight w:val="white"/>
        </w:rPr>
      </w:pPr>
    </w:p>
    <w:p w:rsidR="00F50892" w:rsidRDefault="00F50892" w:rsidP="007665A7">
      <w:pPr>
        <w:spacing w:line="336" w:lineRule="auto"/>
        <w:jc w:val="both"/>
        <w:rPr>
          <w:rFonts w:ascii="Tinos" w:hAnsi="Tinos" w:cs="Tinos"/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left:0;text-align:left;margin-left:0;margin-top:0;width:50pt;height:50pt;z-index:25165926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5A437E">
        <w:rPr>
          <w:rFonts w:ascii="Times New Roman" w:hAnsi="Times New Roman"/>
          <w:sz w:val="28"/>
          <w:szCs w:val="28"/>
          <w:lang w:eastAsia="ru-RU"/>
        </w:rPr>
        <w:pict>
          <v:shape id="_x0000_i1028" type="#_x0000_t75" style="width:481.5pt;height:.75pt;mso-wrap-distance-left:0;mso-wrap-distance-right:0">
            <v:imagedata r:id="rId10" o:title=""/>
            <v:path textboxrect="0,0,0,0"/>
          </v:shape>
        </w:pict>
      </w:r>
    </w:p>
    <w:p w:rsidR="00F50892" w:rsidRDefault="00F50892" w:rsidP="007665A7">
      <w:pPr>
        <w:shd w:val="clear" w:color="FFFFFF" w:fill="FFFFFF"/>
        <w:spacing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Материал подготовлен пресс-службой  </w:t>
      </w:r>
      <w:r>
        <w:rPr>
          <w:rFonts w:ascii="Times New Roman" w:hAnsi="Times New Roman"/>
        </w:rPr>
        <w:br/>
        <w:t>Управления Росреестра по Самарской области</w:t>
      </w:r>
    </w:p>
    <w:sectPr w:rsidR="00F50892" w:rsidSect="007665A7">
      <w:pgSz w:w="11906" w:h="16838"/>
      <w:pgMar w:top="1134" w:right="74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892" w:rsidRDefault="00F50892">
      <w:pPr>
        <w:spacing w:after="0" w:line="240" w:lineRule="auto"/>
      </w:pPr>
      <w:r>
        <w:separator/>
      </w:r>
    </w:p>
  </w:endnote>
  <w:endnote w:type="continuationSeparator" w:id="0">
    <w:p w:rsidR="00F50892" w:rsidRDefault="00F5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892" w:rsidRDefault="00F50892">
      <w:pPr>
        <w:spacing w:after="0" w:line="240" w:lineRule="auto"/>
      </w:pPr>
      <w:r>
        <w:separator/>
      </w:r>
    </w:p>
  </w:footnote>
  <w:footnote w:type="continuationSeparator" w:id="0">
    <w:p w:rsidR="00F50892" w:rsidRDefault="00F50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0FC"/>
    <w:multiLevelType w:val="hybridMultilevel"/>
    <w:tmpl w:val="FFFFFFFF"/>
    <w:lvl w:ilvl="0" w:tplc="EA3237B8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DFDEF9D0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5288B97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CBA06B7E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54BAEBC2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0834082C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D6D64D18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0254AAA4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0464DCBC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1">
    <w:nsid w:val="0C706497"/>
    <w:multiLevelType w:val="hybridMultilevel"/>
    <w:tmpl w:val="FFFFFFFF"/>
    <w:lvl w:ilvl="0" w:tplc="8DD23BA6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B39C0E14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925689A6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4E184186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4634C9AA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F3AA4748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107CA76C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73781CB0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E09C7490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2">
    <w:nsid w:val="1CD55FDA"/>
    <w:multiLevelType w:val="hybridMultilevel"/>
    <w:tmpl w:val="FFFFFFFF"/>
    <w:lvl w:ilvl="0" w:tplc="E180AE84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A3766536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39F03E50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F28EE9F0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46FCA680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263AD248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8BA4889E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80CA6474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54C21C42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3">
    <w:nsid w:val="2FB318BF"/>
    <w:multiLevelType w:val="hybridMultilevel"/>
    <w:tmpl w:val="FFFFFFFF"/>
    <w:lvl w:ilvl="0" w:tplc="F5EAA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86CCA3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CE62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0ADE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BA90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2815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BAA08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D410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5A30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53237B"/>
    <w:multiLevelType w:val="hybridMultilevel"/>
    <w:tmpl w:val="FFFFFFFF"/>
    <w:lvl w:ilvl="0" w:tplc="99B4FF36">
      <w:start w:val="1"/>
      <w:numFmt w:val="bullet"/>
      <w:lvlText w:val="·"/>
      <w:lvlJc w:val="left"/>
      <w:pPr>
        <w:ind w:left="709" w:hanging="360"/>
      </w:pPr>
      <w:rPr>
        <w:rFonts w:ascii="Symbol" w:eastAsia="Times New Roman" w:hAnsi="Symbol" w:hint="default"/>
        <w:color w:val="333333"/>
        <w:sz w:val="21"/>
      </w:rPr>
    </w:lvl>
    <w:lvl w:ilvl="1" w:tplc="80E656FA">
      <w:start w:val="1"/>
      <w:numFmt w:val="bullet"/>
      <w:lvlText w:val="·"/>
      <w:lvlJc w:val="left"/>
      <w:pPr>
        <w:ind w:left="1429" w:hanging="360"/>
      </w:pPr>
      <w:rPr>
        <w:rFonts w:ascii="Symbol" w:eastAsia="Times New Roman" w:hAnsi="Symbol" w:hint="default"/>
        <w:color w:val="333333"/>
        <w:sz w:val="21"/>
      </w:rPr>
    </w:lvl>
    <w:lvl w:ilvl="2" w:tplc="296C90BA">
      <w:start w:val="1"/>
      <w:numFmt w:val="bullet"/>
      <w:lvlText w:val="·"/>
      <w:lvlJc w:val="left"/>
      <w:pPr>
        <w:ind w:left="2149" w:hanging="360"/>
      </w:pPr>
      <w:rPr>
        <w:rFonts w:ascii="Symbol" w:eastAsia="Times New Roman" w:hAnsi="Symbol" w:hint="default"/>
        <w:color w:val="333333"/>
        <w:sz w:val="21"/>
      </w:rPr>
    </w:lvl>
    <w:lvl w:ilvl="3" w:tplc="C11865AC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  <w:color w:val="333333"/>
        <w:sz w:val="21"/>
      </w:rPr>
    </w:lvl>
    <w:lvl w:ilvl="4" w:tplc="05C6C882">
      <w:start w:val="1"/>
      <w:numFmt w:val="bullet"/>
      <w:lvlText w:val="·"/>
      <w:lvlJc w:val="left"/>
      <w:pPr>
        <w:ind w:left="3589" w:hanging="360"/>
      </w:pPr>
      <w:rPr>
        <w:rFonts w:ascii="Symbol" w:eastAsia="Times New Roman" w:hAnsi="Symbol" w:hint="default"/>
        <w:color w:val="333333"/>
        <w:sz w:val="21"/>
      </w:rPr>
    </w:lvl>
    <w:lvl w:ilvl="5" w:tplc="DD3CFA46">
      <w:start w:val="1"/>
      <w:numFmt w:val="bullet"/>
      <w:lvlText w:val="·"/>
      <w:lvlJc w:val="left"/>
      <w:pPr>
        <w:ind w:left="4309" w:hanging="360"/>
      </w:pPr>
      <w:rPr>
        <w:rFonts w:ascii="Symbol" w:eastAsia="Times New Roman" w:hAnsi="Symbol" w:hint="default"/>
        <w:color w:val="333333"/>
        <w:sz w:val="21"/>
      </w:rPr>
    </w:lvl>
    <w:lvl w:ilvl="6" w:tplc="FC9ED234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  <w:color w:val="333333"/>
        <w:sz w:val="21"/>
      </w:rPr>
    </w:lvl>
    <w:lvl w:ilvl="7" w:tplc="9B3E22B6">
      <w:start w:val="1"/>
      <w:numFmt w:val="bullet"/>
      <w:lvlText w:val="·"/>
      <w:lvlJc w:val="left"/>
      <w:pPr>
        <w:ind w:left="5749" w:hanging="360"/>
      </w:pPr>
      <w:rPr>
        <w:rFonts w:ascii="Symbol" w:eastAsia="Times New Roman" w:hAnsi="Symbol" w:hint="default"/>
        <w:color w:val="333333"/>
        <w:sz w:val="21"/>
      </w:rPr>
    </w:lvl>
    <w:lvl w:ilvl="8" w:tplc="EEC0F63C">
      <w:start w:val="1"/>
      <w:numFmt w:val="bullet"/>
      <w:lvlText w:val="·"/>
      <w:lvlJc w:val="left"/>
      <w:pPr>
        <w:ind w:left="6469" w:hanging="360"/>
      </w:pPr>
      <w:rPr>
        <w:rFonts w:ascii="Symbol" w:eastAsia="Times New Roman" w:hAnsi="Symbol" w:hint="default"/>
        <w:color w:val="333333"/>
        <w:sz w:val="21"/>
      </w:rPr>
    </w:lvl>
  </w:abstractNum>
  <w:abstractNum w:abstractNumId="5">
    <w:nsid w:val="63E475FC"/>
    <w:multiLevelType w:val="hybridMultilevel"/>
    <w:tmpl w:val="FFFFFFFF"/>
    <w:lvl w:ilvl="0" w:tplc="09929E6E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8CC26AF6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B8F2A45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7EA4F74C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C0A2B490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734A6676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40485696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3E1042F0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8116B074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6">
    <w:nsid w:val="6D104A06"/>
    <w:multiLevelType w:val="hybridMultilevel"/>
    <w:tmpl w:val="FFFFFFFF"/>
    <w:lvl w:ilvl="0" w:tplc="0C96587E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3F8E7D20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C89818A4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C966CD9E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9BA8EE34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EF12370C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13A2A0BC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C532B7B0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86529AFC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37E"/>
    <w:rsid w:val="005A437E"/>
    <w:rsid w:val="007665A7"/>
    <w:rsid w:val="00CF1D6E"/>
    <w:rsid w:val="00F50892"/>
    <w:rsid w:val="00FA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A437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437E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437E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437E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A437E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A437E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A437E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A437E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A437E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A437E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437E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A437E"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A437E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A437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A437E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A437E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A437E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A437E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A437E"/>
    <w:rPr>
      <w:rFonts w:ascii="Arial" w:eastAsia="Times New Roman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5A437E"/>
    <w:pPr>
      <w:ind w:left="720"/>
      <w:contextualSpacing/>
    </w:pPr>
  </w:style>
  <w:style w:type="paragraph" w:styleId="NoSpacing">
    <w:name w:val="No Spacing"/>
    <w:uiPriority w:val="99"/>
    <w:qFormat/>
    <w:rsid w:val="005A437E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5A437E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5A437E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5A437E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A437E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5A437E"/>
    <w:pPr>
      <w:ind w:left="720" w:right="720"/>
    </w:pPr>
    <w:rPr>
      <w:i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5A437E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A43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A437E"/>
    <w:rPr>
      <w:i/>
    </w:rPr>
  </w:style>
  <w:style w:type="paragraph" w:styleId="Header">
    <w:name w:val="header"/>
    <w:basedOn w:val="Normal"/>
    <w:link w:val="HeaderChar"/>
    <w:uiPriority w:val="99"/>
    <w:rsid w:val="005A437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A437E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5A437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437E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5A437E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5A437E"/>
  </w:style>
  <w:style w:type="table" w:styleId="TableGrid">
    <w:name w:val="Table Grid"/>
    <w:basedOn w:val="TableNormal"/>
    <w:uiPriority w:val="99"/>
    <w:rsid w:val="005A437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5A437E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5A437E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5A437E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band1Vert">
      <w:rPr>
        <w:rFonts w:cs="Times New Roman"/>
      </w:rPr>
      <w:tblPr/>
      <w:tcPr>
        <w:shd w:val="clear" w:color="B3D0EB" w:fill="B3D0EB"/>
      </w:tcPr>
    </w:tblStylePr>
    <w:tblStylePr w:type="band1Horz">
      <w:rPr>
        <w:rFonts w:cs="Times New Roman"/>
      </w:rPr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band1Vert">
      <w:rPr>
        <w:rFonts w:cs="Times New Roman"/>
      </w:rPr>
      <w:tblPr/>
      <w:tcPr>
        <w:shd w:val="clear" w:color="F6C3A0" w:fill="F6C3A0"/>
      </w:tcPr>
    </w:tblStylePr>
    <w:tblStylePr w:type="band1Horz">
      <w:rPr>
        <w:rFonts w:cs="Times New Roman"/>
      </w:rPr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band1Vert">
      <w:rPr>
        <w:rFonts w:cs="Times New Roman"/>
      </w:rPr>
      <w:tblPr/>
      <w:tcPr>
        <w:shd w:val="clear" w:color="D5D5D5" w:fill="D5D5D5"/>
      </w:tcPr>
    </w:tblStylePr>
    <w:tblStylePr w:type="band1Horz">
      <w:rPr>
        <w:rFonts w:cs="Times New Roman"/>
      </w:rPr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band1Vert">
      <w:rPr>
        <w:rFonts w:cs="Times New Roman"/>
      </w:rPr>
      <w:tblPr/>
      <w:tcPr>
        <w:shd w:val="clear" w:color="FFE28A" w:fill="FFE28A"/>
      </w:tcPr>
    </w:tblStylePr>
    <w:tblStylePr w:type="band1Horz">
      <w:rPr>
        <w:rFonts w:cs="Times New Roman"/>
      </w:rPr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band1Vert">
      <w:rPr>
        <w:rFonts w:cs="Times New Roman"/>
      </w:rPr>
      <w:tblPr/>
      <w:tcPr>
        <w:shd w:val="clear" w:color="A9BEE4" w:fill="A9BEE4"/>
      </w:tcPr>
    </w:tblStylePr>
    <w:tblStylePr w:type="band1Horz">
      <w:rPr>
        <w:rFonts w:cs="Times New Roman"/>
      </w:rPr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band1Vert">
      <w:rPr>
        <w:rFonts w:cs="Times New Roman"/>
      </w:rPr>
      <w:tblPr/>
      <w:tcPr>
        <w:shd w:val="clear" w:color="BCDBA8" w:fill="BCDBA8"/>
      </w:tcPr>
    </w:tblStylePr>
    <w:tblStylePr w:type="band1Horz">
      <w:rPr>
        <w:rFonts w:cs="Times New Roman"/>
      </w:rPr>
      <w:tblPr/>
      <w:tcPr>
        <w:shd w:val="clear" w:color="BCDBA8" w:fill="BCDBA8"/>
      </w:tcPr>
    </w:tblStylePr>
  </w:style>
  <w:style w:type="table" w:customStyle="1" w:styleId="GridTable6Colorful">
    <w:name w:val="Grid Table 6 Colorful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rFonts w:cs="Times New Roman"/>
        <w:b/>
        <w:color w:val="ACCCEA"/>
      </w:rPr>
    </w:tblStylePr>
    <w:tblStylePr w:type="firstCol">
      <w:rPr>
        <w:rFonts w:cs="Times New Roman"/>
        <w:b/>
        <w:color w:val="ACCCEA"/>
      </w:rPr>
    </w:tblStylePr>
    <w:tblStylePr w:type="lastCol">
      <w:rPr>
        <w:rFonts w:cs="Times New Roman"/>
        <w:b/>
        <w:color w:val="ACCCEA"/>
      </w:r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6Colorful-Accent2">
    <w:name w:val="Grid Table 6 Colorful - Accent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rFonts w:cs="Times New Roman"/>
        <w:b/>
        <w:color w:val="F4B184"/>
      </w:r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6Colorful-Accent3">
    <w:name w:val="Grid Table 6 Colorful - Accent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rFonts w:cs="Times New Roman"/>
        <w:b/>
        <w:color w:val="A5A5A5"/>
      </w:rPr>
    </w:tblStylePr>
    <w:tblStylePr w:type="firstCol">
      <w:rPr>
        <w:rFonts w:cs="Times New Roman"/>
        <w:b/>
        <w:color w:val="A5A5A5"/>
      </w:rPr>
    </w:tblStylePr>
    <w:tblStylePr w:type="lastCol">
      <w:rPr>
        <w:rFonts w:cs="Times New Roman"/>
        <w:b/>
        <w:color w:val="A5A5A5"/>
      </w:r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6Colorful-Accent4">
    <w:name w:val="Grid Table 6 Colorful - Accent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rFonts w:cs="Times New Roman"/>
        <w:b/>
        <w:color w:val="FFD865"/>
      </w:r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6Colorful-Accent5">
    <w:name w:val="Grid Table 6 Colorful - Accent 5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6Colorful-Accent6">
    <w:name w:val="Grid Table 6 Colorful - Accent 6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7Colorful">
    <w:name w:val="Grid Table 7 Colorful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7Colorful-Accent2">
    <w:name w:val="Grid Table 7 Colorful - Accent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7Colorful-Accent3">
    <w:name w:val="Grid Table 7 Colorful - Accent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7Colorful-Accent4">
    <w:name w:val="Grid Table 7 Colorful - Accent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7Colorful-Accent5">
    <w:name w:val="Grid Table 7 Colorful - Accent 5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7Colorful-Accent6">
    <w:name w:val="Grid Table 7 Colorful - Accent 6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416429"/>
        <w:sz w:val="22"/>
      </w:rPr>
    </w:tblStylePr>
  </w:style>
  <w:style w:type="table" w:customStyle="1" w:styleId="ListTable1Light">
    <w:name w:val="List Table 1 Light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cs="Times New Roman"/>
      </w:rPr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cs="Times New Roman"/>
      </w:rPr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cs="Times New Roman"/>
      </w:rPr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cs="Times New Roman"/>
      </w:rPr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cs="Times New Roman"/>
      </w:rPr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cs="Times New Roman"/>
      </w:rPr>
      <w:tblPr/>
      <w:tcPr>
        <w:shd w:val="clear" w:color="DAEBCF" w:fill="DAEBCF"/>
      </w:tcPr>
    </w:tblStylePr>
  </w:style>
  <w:style w:type="table" w:customStyle="1" w:styleId="ListTable2">
    <w:name w:val="List Table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rFonts w:cs="Times New Roman"/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rFonts w:cs="Times New Roman"/>
        <w:b/>
        <w:color w:val="245A8D"/>
      </w:rPr>
    </w:tblStylePr>
    <w:tblStylePr w:type="lastCol">
      <w:rPr>
        <w:rFonts w:cs="Times New Roman"/>
        <w:b/>
        <w:color w:val="245A8D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6Colorful-Accent2">
    <w:name w:val="List Table 6 Colorful - Accent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rFonts w:cs="Times New Roman"/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6Colorful-Accent3">
    <w:name w:val="List Table 6 Colorful - Accent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rFonts w:cs="Times New Roman"/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rFonts w:cs="Times New Roman"/>
        <w:b/>
        <w:color w:val="C9C9C9"/>
      </w:rPr>
    </w:tblStylePr>
    <w:tblStylePr w:type="lastCol">
      <w:rPr>
        <w:rFonts w:cs="Times New Roman"/>
        <w:b/>
        <w:color w:val="C9C9C9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6Colorful-Accent4">
    <w:name w:val="List Table 6 Colorful - Accent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rFonts w:cs="Times New Roman"/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6Colorful-Accent5">
    <w:name w:val="List Table 6 Colorful - Accent 5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rFonts w:cs="Times New Roman"/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rFonts w:cs="Times New Roman"/>
        <w:b/>
        <w:color w:val="8DA9DB"/>
      </w:rPr>
    </w:tblStylePr>
    <w:tblStylePr w:type="lastCol">
      <w:rPr>
        <w:rFonts w:cs="Times New Roman"/>
        <w:b/>
        <w:color w:val="8DA9DB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6Colorful-Accent6">
    <w:name w:val="List Table 6 Colorful - Accent 6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rFonts w:cs="Times New Roman"/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rFonts w:cs="Times New Roman"/>
        <w:b/>
        <w:color w:val="A9D08E"/>
      </w:rPr>
    </w:tblStylePr>
    <w:tblStylePr w:type="lastCol">
      <w:rPr>
        <w:rFonts w:cs="Times New Roman"/>
        <w:b/>
        <w:color w:val="A9D08E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ListTable7Colorful">
    <w:name w:val="List Table 7 Colorful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7Colorful-Accent2">
    <w:name w:val="List Table 7 Colorful - Accent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7Colorful-Accent3">
    <w:name w:val="List Table 7 Colorful - Accent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7Colorful-Accent4">
    <w:name w:val="List Table 7 Colorful - Accent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7Colorful-Accent5">
    <w:name w:val="List Table 7 Colorful - Accent 5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7Colorful-Accent6">
    <w:name w:val="List Table 7 Colorful - Accent 6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Lined-Accent">
    <w:name w:val="Lined - Accent"/>
    <w:uiPriority w:val="99"/>
    <w:rsid w:val="005A437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5A437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uiPriority w:val="99"/>
    <w:rsid w:val="005A437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uiPriority w:val="99"/>
    <w:rsid w:val="005A437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uiPriority w:val="99"/>
    <w:rsid w:val="005A437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uiPriority w:val="99"/>
    <w:rsid w:val="005A437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uiPriority w:val="99"/>
    <w:rsid w:val="005A437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uiPriority w:val="99"/>
    <w:rsid w:val="005A437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5A437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uiPriority w:val="99"/>
    <w:rsid w:val="005A437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uiPriority w:val="99"/>
    <w:rsid w:val="005A437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uiPriority w:val="99"/>
    <w:rsid w:val="005A437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uiPriority w:val="99"/>
    <w:rsid w:val="005A437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uiPriority w:val="99"/>
    <w:rsid w:val="005A437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uiPriority w:val="99"/>
    <w:rsid w:val="005A437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Hyperlink">
    <w:name w:val="Hyperlink"/>
    <w:basedOn w:val="DefaultParagraphFont"/>
    <w:uiPriority w:val="99"/>
    <w:rsid w:val="005A437E"/>
    <w:rPr>
      <w:rFonts w:cs="Times New Roman"/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5A437E"/>
    <w:pPr>
      <w:spacing w:after="40" w:line="240" w:lineRule="auto"/>
    </w:pPr>
    <w:rPr>
      <w:sz w:val="18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A437E"/>
    <w:rPr>
      <w:sz w:val="18"/>
    </w:rPr>
  </w:style>
  <w:style w:type="character" w:styleId="FootnoteReference">
    <w:name w:val="footnote reference"/>
    <w:basedOn w:val="DefaultParagraphFont"/>
    <w:uiPriority w:val="99"/>
    <w:rsid w:val="005A437E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A437E"/>
    <w:pPr>
      <w:spacing w:after="0" w:line="240" w:lineRule="auto"/>
    </w:pPr>
    <w:rPr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A437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5A437E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5A437E"/>
    <w:pPr>
      <w:spacing w:after="57"/>
    </w:pPr>
  </w:style>
  <w:style w:type="paragraph" w:styleId="TOC2">
    <w:name w:val="toc 2"/>
    <w:basedOn w:val="Normal"/>
    <w:next w:val="Normal"/>
    <w:uiPriority w:val="99"/>
    <w:rsid w:val="005A437E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5A437E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5A437E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5A437E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5A437E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5A437E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5A437E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5A437E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5A437E"/>
    <w:pPr>
      <w:keepNext w:val="0"/>
      <w:keepLines w:val="0"/>
      <w:spacing w:before="0" w:after="160"/>
      <w:outlineLvl w:val="9"/>
    </w:pPr>
    <w:rPr>
      <w:rFonts w:ascii="Calibri" w:hAnsi="Calibri" w:cs="Times New Roman"/>
      <w:sz w:val="22"/>
      <w:szCs w:val="22"/>
    </w:rPr>
  </w:style>
  <w:style w:type="paragraph" w:styleId="TableofFigures">
    <w:name w:val="table of figures"/>
    <w:basedOn w:val="Normal"/>
    <w:next w:val="Normal"/>
    <w:uiPriority w:val="99"/>
    <w:rsid w:val="005A437E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453</Words>
  <Characters>2583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47</cp:revision>
  <dcterms:created xsi:type="dcterms:W3CDTF">2023-09-10T13:11:00Z</dcterms:created>
  <dcterms:modified xsi:type="dcterms:W3CDTF">2026-02-20T12:04:00Z</dcterms:modified>
</cp:coreProperties>
</file>